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BD68A">
      <w:pPr>
        <w:adjustRightInd w:val="0"/>
        <w:spacing w:line="500" w:lineRule="exact"/>
        <w:ind w:firstLine="3654" w:firstLineChars="1300"/>
        <w:rPr>
          <w:rFonts w:ascii="黑体" w:hAnsi="黑体" w:eastAsia="黑体"/>
          <w:b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b/>
          <w:color w:val="auto"/>
          <w:sz w:val="28"/>
          <w:szCs w:val="28"/>
          <w:highlight w:val="none"/>
        </w:rPr>
        <w:t>经营权费</w:t>
      </w:r>
      <w:bookmarkStart w:id="0" w:name="_GoBack"/>
      <w:bookmarkEnd w:id="0"/>
    </w:p>
    <w:p w14:paraId="32010148">
      <w:pPr>
        <w:spacing w:line="360" w:lineRule="auto"/>
        <w:ind w:right="-483" w:rightChars="-230" w:firstLine="480" w:firstLineChars="200"/>
        <w:rPr>
          <w:rFonts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（一）经营权费收取</w:t>
      </w:r>
    </w:p>
    <w:p w14:paraId="7C8EAD17">
      <w:pPr>
        <w:spacing w:line="360" w:lineRule="auto"/>
        <w:ind w:right="-483" w:rightChars="-230" w:firstLine="480" w:firstLineChars="200"/>
        <w:rPr>
          <w:rFonts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广告经营权费按照先交后用的原则收取，收取计划如下：</w:t>
      </w:r>
    </w:p>
    <w:p w14:paraId="4CDDB41E">
      <w:pPr>
        <w:spacing w:line="360" w:lineRule="auto"/>
        <w:ind w:right="-483" w:rightChars="-230" w:firstLine="480" w:firstLineChars="200"/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本项目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  <w:lang w:eastAsia="zh-CN"/>
        </w:rPr>
        <w:t>经营权费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分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个年度计算，每年度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  <w:lang w:eastAsia="zh-CN"/>
        </w:rPr>
        <w:t>经营权费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分2期平均支付，每6个月支付一期，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  <w:lang w:eastAsia="zh-CN"/>
        </w:rPr>
        <w:t>经营单位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自合同签订生效之日后30日内支付第一年度第1期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  <w:lang w:eastAsia="zh-CN"/>
        </w:rPr>
        <w:t>经营权费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，第一年度第1期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  <w:lang w:eastAsia="zh-CN"/>
        </w:rPr>
        <w:t>经营权费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到期前30日内，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  <w:lang w:eastAsia="zh-CN"/>
        </w:rPr>
        <w:t>经营单位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支付第一年度第2期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  <w:lang w:eastAsia="zh-CN"/>
        </w:rPr>
        <w:t>经营权费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，后续各期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  <w:lang w:eastAsia="zh-CN"/>
        </w:rPr>
        <w:t>经营权费</w:t>
      </w: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支付时间依此类推。</w:t>
      </w:r>
    </w:p>
    <w:p w14:paraId="6D253CAC">
      <w:pPr>
        <w:spacing w:line="360" w:lineRule="auto"/>
        <w:ind w:right="-483" w:rightChars="-230" w:firstLine="480" w:firstLineChars="200"/>
        <w:rPr>
          <w:rFonts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（二）经营权费计算办法</w:t>
      </w:r>
    </w:p>
    <w:p w14:paraId="6C7DA9B4">
      <w:pPr>
        <w:spacing w:line="360" w:lineRule="auto"/>
        <w:ind w:right="-483" w:rightChars="-230" w:firstLine="480" w:firstLineChars="200"/>
        <w:rPr>
          <w:rFonts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eastAsia="仿宋_GB2312" w:cs="Arial" w:hAnsiTheme="majorEastAsia"/>
          <w:color w:val="auto"/>
          <w:kern w:val="0"/>
          <w:sz w:val="24"/>
          <w:szCs w:val="24"/>
          <w:highlight w:val="none"/>
        </w:rPr>
        <w:t>广告经营权费按照本项目招商成交金额执行,各年度经营权费金额支付比例如下表：</w:t>
      </w:r>
    </w:p>
    <w:tbl>
      <w:tblPr>
        <w:tblStyle w:val="2"/>
        <w:tblW w:w="8788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3051"/>
        <w:gridCol w:w="4819"/>
      </w:tblGrid>
      <w:tr w14:paraId="57015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18" w:type="dxa"/>
            <w:vAlign w:val="center"/>
          </w:tcPr>
          <w:p w14:paraId="57E1D9EF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051" w:type="dxa"/>
            <w:vAlign w:val="center"/>
          </w:tcPr>
          <w:p w14:paraId="29C0A8FB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经营年度</w:t>
            </w:r>
          </w:p>
        </w:tc>
        <w:tc>
          <w:tcPr>
            <w:tcW w:w="4819" w:type="dxa"/>
            <w:vAlign w:val="center"/>
          </w:tcPr>
          <w:p w14:paraId="28CC8474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经营权费</w:t>
            </w:r>
            <w:r>
              <w:rPr>
                <w:rFonts w:hint="eastAsia" w:ascii="仿宋_GB2312" w:eastAsia="仿宋_GB2312" w:cs="Arial" w:hAnsiTheme="majorEastAsia"/>
                <w:color w:val="auto"/>
                <w:kern w:val="0"/>
                <w:sz w:val="24"/>
                <w:szCs w:val="24"/>
                <w:highlight w:val="none"/>
              </w:rPr>
              <w:t>支付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比例</w:t>
            </w:r>
          </w:p>
        </w:tc>
      </w:tr>
      <w:tr w14:paraId="6BE10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18" w:type="dxa"/>
            <w:vAlign w:val="center"/>
          </w:tcPr>
          <w:p w14:paraId="28F2A301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051" w:type="dxa"/>
            <w:vAlign w:val="center"/>
          </w:tcPr>
          <w:p w14:paraId="3AAF5864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第一年度</w:t>
            </w:r>
          </w:p>
        </w:tc>
        <w:tc>
          <w:tcPr>
            <w:tcW w:w="4819" w:type="dxa"/>
            <w:vAlign w:val="center"/>
          </w:tcPr>
          <w:p w14:paraId="5F52E5A1"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成交金额的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18.10%</w:t>
            </w:r>
          </w:p>
        </w:tc>
      </w:tr>
      <w:tr w14:paraId="55009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18" w:type="dxa"/>
            <w:vAlign w:val="center"/>
          </w:tcPr>
          <w:p w14:paraId="1537D0B5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051" w:type="dxa"/>
            <w:vAlign w:val="center"/>
          </w:tcPr>
          <w:p w14:paraId="6CBC61EC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第二年度</w:t>
            </w:r>
          </w:p>
        </w:tc>
        <w:tc>
          <w:tcPr>
            <w:tcW w:w="4819" w:type="dxa"/>
            <w:vAlign w:val="center"/>
          </w:tcPr>
          <w:p w14:paraId="11FEE84E"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成交金额的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19.00%</w:t>
            </w:r>
          </w:p>
        </w:tc>
      </w:tr>
      <w:tr w14:paraId="71173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8" w:type="dxa"/>
            <w:vAlign w:val="center"/>
          </w:tcPr>
          <w:p w14:paraId="2CDC06B6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051" w:type="dxa"/>
            <w:vAlign w:val="center"/>
          </w:tcPr>
          <w:p w14:paraId="27DB3482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第三年度</w:t>
            </w:r>
          </w:p>
        </w:tc>
        <w:tc>
          <w:tcPr>
            <w:tcW w:w="4819" w:type="dxa"/>
            <w:vAlign w:val="center"/>
          </w:tcPr>
          <w:p w14:paraId="7EAE1744"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成交金额的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19.95%</w:t>
            </w:r>
          </w:p>
        </w:tc>
      </w:tr>
      <w:tr w14:paraId="40171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8" w:type="dxa"/>
            <w:vAlign w:val="center"/>
          </w:tcPr>
          <w:p w14:paraId="6A72EDFD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3051" w:type="dxa"/>
            <w:vAlign w:val="center"/>
          </w:tcPr>
          <w:p w14:paraId="66E45540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第四年度</w:t>
            </w:r>
          </w:p>
        </w:tc>
        <w:tc>
          <w:tcPr>
            <w:tcW w:w="4819" w:type="dxa"/>
            <w:vAlign w:val="center"/>
          </w:tcPr>
          <w:p w14:paraId="5EE88492"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成交金额的20.95%</w:t>
            </w:r>
          </w:p>
        </w:tc>
      </w:tr>
      <w:tr w14:paraId="0FF72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8" w:type="dxa"/>
            <w:vAlign w:val="center"/>
          </w:tcPr>
          <w:p w14:paraId="65BF46A7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3051" w:type="dxa"/>
            <w:vAlign w:val="center"/>
          </w:tcPr>
          <w:p w14:paraId="0C9CD500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第五年度</w:t>
            </w:r>
          </w:p>
        </w:tc>
        <w:tc>
          <w:tcPr>
            <w:tcW w:w="4819" w:type="dxa"/>
            <w:vAlign w:val="center"/>
          </w:tcPr>
          <w:p w14:paraId="6334EDC4"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成交金额的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22.00%</w:t>
            </w:r>
          </w:p>
        </w:tc>
      </w:tr>
      <w:tr w14:paraId="387C6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C8523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22280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1D7CC"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成交金额的100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.00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highlight w:val="none"/>
              </w:rPr>
              <w:t>%</w:t>
            </w:r>
          </w:p>
        </w:tc>
      </w:tr>
    </w:tbl>
    <w:p w14:paraId="1CD95E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6D2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2025-09-05T03:10:26Z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A1ED864CB20C472CA77DDDFD652E872D_12</vt:lpwstr>
  </property>
</Properties>
</file>